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EAB9" w14:textId="4785520E" w:rsidR="003C224F" w:rsidRPr="00856F26" w:rsidRDefault="0016418E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  <w:bookmarkStart w:id="0" w:name="_Toc275347763"/>
      <w:bookmarkStart w:id="1" w:name="_Toc295287916"/>
      <w:r>
        <w:rPr>
          <w:rFonts w:ascii="Helvetica" w:eastAsia="Times New Roman" w:hAnsi="Helvetica" w:cs="Times New Roman"/>
          <w:color w:val="FFFFFF" w:themeColor="background1"/>
          <w:sz w:val="24"/>
          <w:szCs w:val="24"/>
        </w:rPr>
        <w:t>January 2016</w:t>
      </w:r>
    </w:p>
    <w:p w14:paraId="694BB272" w14:textId="77777777" w:rsidR="003C224F" w:rsidRPr="00856F26" w:rsidRDefault="003C224F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44DE720D" w14:textId="77777777" w:rsidR="003C224F" w:rsidRPr="00856F26" w:rsidRDefault="003C224F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24CA307F" w14:textId="77777777" w:rsidR="003C224F" w:rsidRPr="00856F26" w:rsidRDefault="003C224F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37268FCC" w14:textId="77777777" w:rsidR="003C224F" w:rsidRPr="00856F26" w:rsidRDefault="003C224F" w:rsidP="00CB5B88">
      <w:pPr>
        <w:spacing w:after="0" w:line="240" w:lineRule="auto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30E4C67B" w14:textId="77777777" w:rsidR="003C224F" w:rsidRPr="00856F26" w:rsidRDefault="003C224F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5D676072" w14:textId="77777777" w:rsidR="003C224F" w:rsidRPr="00856F26" w:rsidRDefault="003C224F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30E0F697" w14:textId="1A3CD920" w:rsidR="003C224F" w:rsidRPr="00FF3191" w:rsidRDefault="00CB5B88" w:rsidP="003C224F">
      <w:pPr>
        <w:autoSpaceDE w:val="0"/>
        <w:spacing w:after="0" w:line="240" w:lineRule="auto"/>
        <w:ind w:left="2160"/>
        <w:rPr>
          <w:rFonts w:ascii="Helvetica" w:hAnsi="Helvetica" w:cs="Calibri,Bold"/>
          <w:bCs/>
          <w:color w:val="FFFFFF" w:themeColor="background1"/>
          <w:sz w:val="80"/>
          <w:szCs w:val="80"/>
        </w:rPr>
      </w:pPr>
      <w:r w:rsidRPr="0016418E">
        <w:rPr>
          <w:rFonts w:ascii="Helvetica" w:hAnsi="Helvetica" w:cs="Calibri,Bold"/>
          <w:b/>
          <w:bCs/>
          <w:color w:val="FFFFFF" w:themeColor="background1"/>
          <w:sz w:val="68"/>
          <w:szCs w:val="68"/>
        </w:rPr>
        <w:t xml:space="preserve">Liberty </w:t>
      </w:r>
      <w:r w:rsidR="00F13FC8">
        <w:rPr>
          <w:rFonts w:ascii="Helvetica" w:hAnsi="Helvetica" w:cs="Calibri,Bold"/>
          <w:b/>
          <w:bCs/>
          <w:color w:val="FFFFFF" w:themeColor="background1"/>
          <w:sz w:val="68"/>
          <w:szCs w:val="68"/>
        </w:rPr>
        <w:t>Trade Order</w:t>
      </w:r>
      <w:r w:rsidR="0016418E" w:rsidRPr="0016418E">
        <w:rPr>
          <w:rFonts w:ascii="Helvetica" w:hAnsi="Helvetica" w:cs="Calibri,Bold"/>
          <w:b/>
          <w:bCs/>
          <w:color w:val="FFFFFF" w:themeColor="background1"/>
          <w:sz w:val="68"/>
          <w:szCs w:val="68"/>
        </w:rPr>
        <w:t xml:space="preserve"> Special Instructions</w:t>
      </w:r>
      <w:r w:rsidR="00FF3191" w:rsidRPr="0016418E">
        <w:rPr>
          <w:rFonts w:ascii="Helvetica" w:hAnsi="Helvetica" w:cs="Calibri,Bold"/>
          <w:bCs/>
          <w:color w:val="FFFFFF" w:themeColor="background1"/>
          <w:sz w:val="68"/>
          <w:szCs w:val="68"/>
        </w:rPr>
        <w:t xml:space="preserve"> </w:t>
      </w:r>
      <w:r w:rsidR="00FF3191" w:rsidRPr="0016418E">
        <w:rPr>
          <w:rFonts w:ascii="Helvetica" w:hAnsi="Helvetica" w:cs="Calibri,Bold"/>
          <w:bCs/>
          <w:color w:val="FFFFFF" w:themeColor="background1"/>
          <w:sz w:val="68"/>
          <w:szCs w:val="68"/>
        </w:rPr>
        <w:br/>
        <w:t>User Guide</w:t>
      </w:r>
    </w:p>
    <w:p w14:paraId="4AE3805B" w14:textId="044DEB2E" w:rsidR="007D2923" w:rsidRPr="00856F26" w:rsidRDefault="007D2923" w:rsidP="003C224F">
      <w:pPr>
        <w:autoSpaceDE w:val="0"/>
        <w:spacing w:after="0" w:line="240" w:lineRule="auto"/>
        <w:ind w:left="2160"/>
        <w:rPr>
          <w:rFonts w:ascii="Helvetica" w:hAnsi="Helvetica" w:cs="Calibri,Bold"/>
          <w:bCs/>
          <w:color w:val="FFFFFF" w:themeColor="background1"/>
          <w:sz w:val="24"/>
          <w:szCs w:val="24"/>
        </w:rPr>
      </w:pPr>
    </w:p>
    <w:p w14:paraId="39E4C7AB" w14:textId="33BE569D" w:rsidR="003C224F" w:rsidRPr="00856F26" w:rsidRDefault="003C224F" w:rsidP="003C224F">
      <w:pPr>
        <w:autoSpaceDE w:val="0"/>
        <w:spacing w:after="0" w:line="240" w:lineRule="auto"/>
        <w:ind w:left="2160"/>
        <w:rPr>
          <w:rFonts w:ascii="Helvetica" w:hAnsi="Helvetica" w:cs="Calibri,Bold"/>
          <w:bCs/>
          <w:color w:val="FFFFFF" w:themeColor="background1"/>
          <w:sz w:val="24"/>
          <w:szCs w:val="24"/>
        </w:rPr>
      </w:pPr>
    </w:p>
    <w:p w14:paraId="1096767A" w14:textId="448F77D6" w:rsidR="005A3269" w:rsidRPr="00856F26" w:rsidRDefault="005A3269" w:rsidP="003C224F">
      <w:pPr>
        <w:autoSpaceDE w:val="0"/>
        <w:spacing w:after="0" w:line="240" w:lineRule="auto"/>
        <w:ind w:left="2160"/>
        <w:rPr>
          <w:rFonts w:ascii="Helvetica" w:hAnsi="Helvetica" w:cs="Calibri,Bold"/>
          <w:bCs/>
          <w:color w:val="FFFFFF" w:themeColor="background1"/>
          <w:sz w:val="24"/>
          <w:szCs w:val="24"/>
        </w:rPr>
      </w:pPr>
      <w:r w:rsidRPr="00856F26">
        <w:rPr>
          <w:rFonts w:ascii="Helvetica" w:eastAsia="Times New Roman" w:hAnsi="Helvetica" w:cs="ZWAdobeF"/>
          <w:b/>
          <w:color w:val="FFFFFF" w:themeColor="background1"/>
          <w:sz w:val="24"/>
          <w:szCs w:val="24"/>
        </w:rPr>
        <w:br w:type="page"/>
      </w:r>
    </w:p>
    <w:bookmarkEnd w:id="1" w:displacedByCustomXml="next"/>
    <w:bookmarkEnd w:id="0" w:displacedByCustomXml="next"/>
    <w:sdt>
      <w:sdtPr>
        <w:rPr>
          <w:rFonts w:ascii="Helvetica" w:hAnsi="Helvetica"/>
          <w:b/>
          <w:bCs/>
          <w:sz w:val="24"/>
          <w:szCs w:val="24"/>
        </w:rPr>
        <w:id w:val="5166781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48346659" w14:textId="08D66ED9" w:rsidR="007D2923" w:rsidRPr="00856F26" w:rsidRDefault="007D2923" w:rsidP="00856F26">
          <w:pPr>
            <w:rPr>
              <w:rFonts w:ascii="Helvetica" w:eastAsiaTheme="majorEastAsia" w:hAnsi="Helvetica" w:cstheme="majorBidi"/>
              <w:color w:val="365F91" w:themeColor="accent1" w:themeShade="BF"/>
              <w:sz w:val="24"/>
              <w:szCs w:val="24"/>
              <w:lang w:eastAsia="ja-JP"/>
            </w:rPr>
          </w:pPr>
          <w:r w:rsidRPr="00856F26">
            <w:rPr>
              <w:rFonts w:ascii="Helvetica" w:hAnsi="Helvetica"/>
              <w:sz w:val="24"/>
              <w:szCs w:val="24"/>
            </w:rPr>
            <w:t>Table of Contents</w:t>
          </w:r>
        </w:p>
        <w:p w14:paraId="55B6F050" w14:textId="77777777" w:rsidR="00F13FC8" w:rsidRDefault="007D2923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r w:rsidRPr="00856F26">
            <w:rPr>
              <w:rFonts w:ascii="Helvetica" w:hAnsi="Helvetica"/>
              <w:sz w:val="24"/>
              <w:szCs w:val="24"/>
            </w:rPr>
            <w:fldChar w:fldCharType="begin"/>
          </w:r>
          <w:r w:rsidRPr="00856F26">
            <w:rPr>
              <w:rFonts w:ascii="Helvetica" w:hAnsi="Helvetica"/>
              <w:sz w:val="24"/>
              <w:szCs w:val="24"/>
            </w:rPr>
            <w:instrText xml:space="preserve"> TOC \o "1-3" \h \z \u </w:instrText>
          </w:r>
          <w:r w:rsidRPr="00856F26">
            <w:rPr>
              <w:rFonts w:ascii="Helvetica" w:hAnsi="Helvetica"/>
              <w:sz w:val="24"/>
              <w:szCs w:val="24"/>
            </w:rPr>
            <w:fldChar w:fldCharType="separate"/>
          </w:r>
          <w:hyperlink w:anchor="_Toc440442494" w:history="1">
            <w:r w:rsidR="00F13FC8" w:rsidRPr="008E5A11">
              <w:rPr>
                <w:rStyle w:val="Hyperlink"/>
                <w:rFonts w:ascii="Helvetica" w:hAnsi="Helvetica" w:cs="Helvetica"/>
                <w:noProof/>
              </w:rPr>
              <w:t>Quick Start Guide</w:t>
            </w:r>
            <w:r w:rsidR="00F13FC8">
              <w:rPr>
                <w:noProof/>
                <w:webHidden/>
              </w:rPr>
              <w:tab/>
            </w:r>
            <w:r w:rsidR="00F13FC8">
              <w:rPr>
                <w:noProof/>
                <w:webHidden/>
              </w:rPr>
              <w:fldChar w:fldCharType="begin"/>
            </w:r>
            <w:r w:rsidR="00F13FC8">
              <w:rPr>
                <w:noProof/>
                <w:webHidden/>
              </w:rPr>
              <w:instrText xml:space="preserve"> PAGEREF _Toc440442494 \h </w:instrText>
            </w:r>
            <w:r w:rsidR="00F13FC8">
              <w:rPr>
                <w:noProof/>
                <w:webHidden/>
              </w:rPr>
            </w:r>
            <w:r w:rsidR="00F13FC8">
              <w:rPr>
                <w:noProof/>
                <w:webHidden/>
              </w:rPr>
              <w:fldChar w:fldCharType="separate"/>
            </w:r>
            <w:r w:rsidR="00F13FC8">
              <w:rPr>
                <w:noProof/>
                <w:webHidden/>
              </w:rPr>
              <w:t>3</w:t>
            </w:r>
            <w:r w:rsidR="00F13FC8">
              <w:rPr>
                <w:noProof/>
                <w:webHidden/>
              </w:rPr>
              <w:fldChar w:fldCharType="end"/>
            </w:r>
          </w:hyperlink>
        </w:p>
        <w:p w14:paraId="662E1C2E" w14:textId="77777777" w:rsidR="00F13FC8" w:rsidRDefault="00F13FC8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40442495" w:history="1">
            <w:r w:rsidRPr="008E5A11">
              <w:rPr>
                <w:rStyle w:val="Hyperlink"/>
                <w:rFonts w:ascii="Helvetica" w:hAnsi="Helvetica" w:cs="Helvetica"/>
                <w:noProof/>
              </w:rPr>
              <w:t>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_Toc440442495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BF8DD" w14:textId="77777777" w:rsidR="00F13FC8" w:rsidRDefault="00F13FC8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40442496" w:history="1">
            <w:r w:rsidRPr="008E5A11">
              <w:rPr>
                <w:rStyle w:val="Hyperlink"/>
                <w:rFonts w:ascii="Helvetica" w:hAnsi="Helvetica"/>
                <w:noProof/>
              </w:rPr>
              <w:t>Navigation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_Toc440442496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6FC32" w14:textId="77777777" w:rsidR="00F13FC8" w:rsidRDefault="00F13FC8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40442497" w:history="1">
            <w:r w:rsidRPr="008E5A11">
              <w:rPr>
                <w:rStyle w:val="Hyperlink"/>
                <w:rFonts w:ascii="Helvetica" w:hAnsi="Helvetica" w:cs="Helvetica"/>
                <w:noProof/>
              </w:rPr>
              <w:t>Edit Special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_Toc440442497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5CFB2" w14:textId="77777777" w:rsidR="00F13FC8" w:rsidRDefault="00F13FC8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40442498" w:history="1">
            <w:r w:rsidRPr="008E5A11">
              <w:rPr>
                <w:rStyle w:val="Hyperlink"/>
                <w:rFonts w:ascii="Helvetica" w:hAnsi="Helvetica" w:cs="Helvetica"/>
                <w:noProof/>
              </w:rPr>
              <w:t>General Usage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_Toc440442498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998C7" w14:textId="77777777" w:rsidR="007D2923" w:rsidRPr="00856F26" w:rsidRDefault="007D2923" w:rsidP="007D2923">
          <w:pPr>
            <w:rPr>
              <w:rFonts w:ascii="Helvetica" w:hAnsi="Helvetica"/>
              <w:sz w:val="24"/>
              <w:szCs w:val="24"/>
            </w:rPr>
          </w:pPr>
          <w:r w:rsidRPr="00856F26">
            <w:rPr>
              <w:rFonts w:ascii="Helvetica" w:hAnsi="Helvetica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676EB2E" w14:textId="77777777" w:rsidR="007D2923" w:rsidRPr="00856F26" w:rsidRDefault="007D2923" w:rsidP="007D2923">
      <w:pPr>
        <w:rPr>
          <w:rFonts w:ascii="Helvetica" w:eastAsia="Times New Roman" w:hAnsi="Helvetica" w:cs="Arial"/>
          <w:bCs/>
          <w:sz w:val="24"/>
          <w:szCs w:val="24"/>
        </w:rPr>
      </w:pPr>
      <w:r w:rsidRPr="00856F26">
        <w:rPr>
          <w:rFonts w:ascii="Helvetica" w:hAnsi="Helvetica"/>
          <w:sz w:val="24"/>
          <w:szCs w:val="24"/>
        </w:rPr>
        <w:br w:type="page"/>
      </w:r>
    </w:p>
    <w:p w14:paraId="3230633C" w14:textId="326EF6A4" w:rsidR="0016418E" w:rsidRDefault="00E90EA2" w:rsidP="0058586A">
      <w:pPr>
        <w:pStyle w:val="Heading1"/>
        <w:rPr>
          <w:rFonts w:ascii="Helvetica" w:hAnsi="Helvetica" w:cs="Helvetica"/>
          <w:sz w:val="28"/>
          <w:szCs w:val="28"/>
        </w:rPr>
      </w:pPr>
      <w:bookmarkStart w:id="2" w:name="_Navigation"/>
      <w:bookmarkStart w:id="3" w:name="_Toc398618543"/>
      <w:bookmarkStart w:id="4" w:name="a"/>
      <w:bookmarkStart w:id="5" w:name="_Toc440442494"/>
      <w:bookmarkEnd w:id="2"/>
      <w:r>
        <w:rPr>
          <w:rFonts w:ascii="Helvetica" w:hAnsi="Helvetica" w:cs="Helvetica"/>
          <w:sz w:val="28"/>
          <w:szCs w:val="28"/>
        </w:rPr>
        <w:lastRenderedPageBreak/>
        <w:t>Quick Start Guide</w:t>
      </w:r>
      <w:bookmarkEnd w:id="5"/>
    </w:p>
    <w:p w14:paraId="5854EC59" w14:textId="77777777" w:rsidR="00E90EA2" w:rsidRDefault="005D2692" w:rsidP="00E90EA2">
      <w:r>
        <w:t>Liberty now allows you to easily edit special instructions for multiple trade orde</w:t>
      </w:r>
      <w:bookmarkStart w:id="6" w:name="_GoBack"/>
      <w:bookmarkEnd w:id="6"/>
      <w:r>
        <w:t>rs at once, saving you time and allowing you to trade more efficiently.</w:t>
      </w:r>
    </w:p>
    <w:p w14:paraId="4BAE147D" w14:textId="782FDF30" w:rsidR="00E90EA2" w:rsidRPr="00E90EA2" w:rsidRDefault="00E90EA2" w:rsidP="00E90EA2">
      <w:r>
        <w:t>Edit Special Instructions</w:t>
      </w:r>
      <w:r w:rsidRPr="00E90EA2">
        <w:rPr>
          <w:rFonts w:cs="Helvetica"/>
        </w:rPr>
        <w:t xml:space="preserve"> is available in the Trading area of Liberty.  </w:t>
      </w:r>
    </w:p>
    <w:p w14:paraId="7054E8D5" w14:textId="562E5141" w:rsidR="00E90EA2" w:rsidRPr="00E90EA2" w:rsidRDefault="00E90EA2" w:rsidP="00E90EA2">
      <w:pPr>
        <w:numPr>
          <w:ilvl w:val="0"/>
          <w:numId w:val="22"/>
        </w:numPr>
        <w:contextualSpacing/>
        <w:rPr>
          <w:rFonts w:cs="Helvetica"/>
        </w:rPr>
      </w:pPr>
      <w:r w:rsidRPr="00E90EA2">
        <w:rPr>
          <w:rFonts w:cs="Helvetica"/>
        </w:rPr>
        <w:t>From the Trading</w:t>
      </w:r>
      <w:r>
        <w:rPr>
          <w:rFonts w:cs="Helvetica"/>
        </w:rPr>
        <w:t xml:space="preserve"> tab, click</w:t>
      </w:r>
      <w:r w:rsidRPr="00E90EA2">
        <w:rPr>
          <w:rFonts w:cs="Helvetica"/>
        </w:rPr>
        <w:t xml:space="preserve"> the </w:t>
      </w:r>
      <w:r>
        <w:rPr>
          <w:rFonts w:cs="Helvetica"/>
        </w:rPr>
        <w:t>Blotter</w:t>
      </w:r>
      <w:r w:rsidRPr="00E90EA2">
        <w:rPr>
          <w:rFonts w:cs="Helvetica"/>
        </w:rPr>
        <w:t xml:space="preserve"> link to display a list of all open </w:t>
      </w:r>
      <w:r>
        <w:rPr>
          <w:rFonts w:cs="Helvetica"/>
        </w:rPr>
        <w:t>trades</w:t>
      </w:r>
      <w:r w:rsidRPr="00E90EA2">
        <w:rPr>
          <w:rFonts w:cs="Helvetica"/>
        </w:rPr>
        <w:t>.</w:t>
      </w:r>
    </w:p>
    <w:p w14:paraId="04752307" w14:textId="76C29BDA" w:rsidR="00E90EA2" w:rsidRPr="00E90EA2" w:rsidRDefault="00E90EA2" w:rsidP="00E90EA2">
      <w:pPr>
        <w:numPr>
          <w:ilvl w:val="0"/>
          <w:numId w:val="22"/>
        </w:numPr>
        <w:contextualSpacing/>
        <w:rPr>
          <w:rFonts w:cs="Helvetica"/>
        </w:rPr>
      </w:pPr>
      <w:r>
        <w:rPr>
          <w:rFonts w:cs="Helvetica"/>
        </w:rPr>
        <w:t xml:space="preserve">Select one or more eligible trades. </w:t>
      </w:r>
    </w:p>
    <w:p w14:paraId="1CCD6962" w14:textId="5F8CC352" w:rsidR="00E90EA2" w:rsidRPr="00E90EA2" w:rsidRDefault="00E90EA2" w:rsidP="00E90EA2">
      <w:pPr>
        <w:numPr>
          <w:ilvl w:val="0"/>
          <w:numId w:val="22"/>
        </w:numPr>
        <w:contextualSpacing/>
        <w:rPr>
          <w:rFonts w:cs="Helvetica"/>
        </w:rPr>
      </w:pPr>
      <w:r>
        <w:rPr>
          <w:rFonts w:cs="Helvetica"/>
        </w:rPr>
        <w:t>Edit Special Instructions button in the action dock will be enabled.</w:t>
      </w:r>
    </w:p>
    <w:p w14:paraId="0F50A407" w14:textId="007DD78B" w:rsidR="00E90EA2" w:rsidRDefault="00E90EA2" w:rsidP="00E90EA2">
      <w:pPr>
        <w:numPr>
          <w:ilvl w:val="0"/>
          <w:numId w:val="22"/>
        </w:numPr>
        <w:contextualSpacing/>
        <w:rPr>
          <w:rFonts w:cs="Helvetica"/>
        </w:rPr>
      </w:pPr>
      <w:r w:rsidRPr="00E90EA2">
        <w:rPr>
          <w:rFonts w:cs="Helvetica"/>
        </w:rPr>
        <w:t>Edi</w:t>
      </w:r>
      <w:r>
        <w:rPr>
          <w:rFonts w:cs="Helvetica"/>
        </w:rPr>
        <w:t>t Special Instructions screen will open, allowing you to change the parameters of the trade.</w:t>
      </w:r>
    </w:p>
    <w:p w14:paraId="5D610FB4" w14:textId="178F1B91" w:rsidR="00E90EA2" w:rsidRPr="00E90EA2" w:rsidRDefault="00E90EA2" w:rsidP="00E90EA2">
      <w:pPr>
        <w:numPr>
          <w:ilvl w:val="0"/>
          <w:numId w:val="22"/>
        </w:numPr>
        <w:contextualSpacing/>
        <w:rPr>
          <w:rFonts w:cs="Helvetica"/>
        </w:rPr>
      </w:pPr>
      <w:r>
        <w:rPr>
          <w:rFonts w:cs="Helvetica"/>
        </w:rPr>
        <w:t>Click Save to apply changes, or Cancel to discard changes.</w:t>
      </w:r>
    </w:p>
    <w:p w14:paraId="11BB8B0B" w14:textId="77777777" w:rsidR="00E90EA2" w:rsidRPr="00E90EA2" w:rsidRDefault="00E90EA2" w:rsidP="005D2692"/>
    <w:p w14:paraId="2D68B1E3" w14:textId="77777777" w:rsidR="00E90EA2" w:rsidRPr="00E90EA2" w:rsidRDefault="00E90EA2" w:rsidP="00E90EA2">
      <w:pPr>
        <w:pStyle w:val="Heading1"/>
        <w:rPr>
          <w:rFonts w:ascii="Helvetica" w:hAnsi="Helvetica" w:cs="Helvetica"/>
          <w:sz w:val="28"/>
          <w:szCs w:val="28"/>
        </w:rPr>
      </w:pPr>
      <w:bookmarkStart w:id="7" w:name="_Toc439767317"/>
      <w:bookmarkStart w:id="8" w:name="_Toc440442495"/>
      <w:r w:rsidRPr="00E90EA2">
        <w:rPr>
          <w:rFonts w:ascii="Helvetica" w:hAnsi="Helvetica" w:cs="Helvetica"/>
          <w:sz w:val="28"/>
          <w:szCs w:val="28"/>
        </w:rPr>
        <w:t>Messages</w:t>
      </w:r>
      <w:bookmarkEnd w:id="7"/>
      <w:bookmarkEnd w:id="8"/>
    </w:p>
    <w:p w14:paraId="247D1FB1" w14:textId="77777777" w:rsidR="00E90EA2" w:rsidRPr="00E90EA2" w:rsidRDefault="00E90EA2" w:rsidP="00E90EA2">
      <w:pPr>
        <w:rPr>
          <w:rFonts w:cs="Helvetica"/>
        </w:rPr>
      </w:pPr>
      <w:r w:rsidRPr="00E90EA2">
        <w:rPr>
          <w:rFonts w:cs="Helvetica"/>
        </w:rPr>
        <w:t>There are several messages you will see as you perform actions within Liberty.  In general, messages appear at the top of the screen with a colored background.</w:t>
      </w:r>
    </w:p>
    <w:p w14:paraId="6F35950D" w14:textId="77777777" w:rsidR="00E90EA2" w:rsidRPr="00E90EA2" w:rsidRDefault="00E90EA2" w:rsidP="00E90EA2">
      <w:pPr>
        <w:rPr>
          <w:rFonts w:cs="Helvetica"/>
        </w:rPr>
      </w:pPr>
      <w:r w:rsidRPr="00E90EA2">
        <w:rPr>
          <w:rFonts w:cs="Helvetica"/>
        </w:rPr>
        <w:object w:dxaOrig="3864" w:dyaOrig="636" w14:anchorId="506AD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45pt;height:32.55pt" o:ole="">
            <v:imagedata r:id="rId9" o:title=""/>
          </v:shape>
          <o:OLEObject Type="Embed" ProgID="PBrush" ShapeID="_x0000_i1025" DrawAspect="Content" ObjectID="_1514184336" r:id="rId10"/>
        </w:object>
      </w:r>
      <w:r w:rsidRPr="00E90EA2">
        <w:rPr>
          <w:rFonts w:cs="Helvetica"/>
        </w:rPr>
        <w:t xml:space="preserve"> </w:t>
      </w:r>
    </w:p>
    <w:p w14:paraId="75A4060F" w14:textId="77777777" w:rsidR="00E90EA2" w:rsidRPr="00E90EA2" w:rsidRDefault="00E90EA2" w:rsidP="00E90EA2">
      <w:pPr>
        <w:rPr>
          <w:rFonts w:cs="Helvetica"/>
        </w:rPr>
      </w:pPr>
      <w:r w:rsidRPr="00E90EA2">
        <w:rPr>
          <w:rFonts w:cs="Helvetica"/>
        </w:rPr>
        <w:t>Informational messages appear with a blue background and an “I” icon.  These messages typically confirm that you have successfully completed some action.</w:t>
      </w:r>
    </w:p>
    <w:p w14:paraId="308974B2" w14:textId="02255C34" w:rsidR="00E90EA2" w:rsidRPr="00E90EA2" w:rsidRDefault="00E90EA2" w:rsidP="00E90EA2">
      <w:pPr>
        <w:rPr>
          <w:rFonts w:cs="Helvetica"/>
        </w:rPr>
      </w:pPr>
      <w:r>
        <w:rPr>
          <w:noProof/>
        </w:rPr>
        <w:drawing>
          <wp:inline distT="0" distB="0" distL="0" distR="0" wp14:anchorId="6E4EDB01" wp14:editId="6234A455">
            <wp:extent cx="4619048" cy="6380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A543" w14:textId="77777777" w:rsidR="00E90EA2" w:rsidRPr="00E90EA2" w:rsidRDefault="00E90EA2" w:rsidP="00E90EA2">
      <w:pPr>
        <w:rPr>
          <w:rFonts w:cs="Helvetica"/>
        </w:rPr>
      </w:pPr>
      <w:r w:rsidRPr="00E90EA2">
        <w:rPr>
          <w:rFonts w:cs="Helvetica"/>
        </w:rPr>
        <w:t>Critical messages appear with a red background and an ‘x’ icon.  These messages indicate that something needs to be corrected before you can proceed.</w:t>
      </w:r>
    </w:p>
    <w:p w14:paraId="2E2502D4" w14:textId="14335E76" w:rsidR="0058586A" w:rsidRPr="0058586A" w:rsidRDefault="0058586A" w:rsidP="005D2692">
      <w:r w:rsidRPr="0058586A">
        <w:br w:type="page"/>
      </w:r>
    </w:p>
    <w:p w14:paraId="2E0E360D" w14:textId="7138E138" w:rsidR="00876D1F" w:rsidRDefault="00876D1F" w:rsidP="00876D1F">
      <w:pPr>
        <w:pStyle w:val="Heading1"/>
        <w:rPr>
          <w:rFonts w:ascii="Helvetica" w:hAnsi="Helvetica"/>
          <w:sz w:val="28"/>
          <w:szCs w:val="28"/>
        </w:rPr>
      </w:pPr>
      <w:bookmarkStart w:id="9" w:name="_Toc440442496"/>
      <w:r w:rsidRPr="00CA1FAC">
        <w:rPr>
          <w:rFonts w:ascii="Helvetica" w:hAnsi="Helvetica"/>
          <w:sz w:val="28"/>
          <w:szCs w:val="28"/>
        </w:rPr>
        <w:lastRenderedPageBreak/>
        <w:t>Navigation</w:t>
      </w:r>
      <w:bookmarkEnd w:id="9"/>
    </w:p>
    <w:p w14:paraId="5C96FB3A" w14:textId="245571A6" w:rsidR="003553AF" w:rsidRDefault="003553AF" w:rsidP="00CC686E">
      <w:r>
        <w:t>The Edit Special Instructions feature is located on the action dock of the Trade Blotter page.</w:t>
      </w:r>
      <w:r w:rsidR="006E1909">
        <w:t xml:space="preserve"> Once eligible </w:t>
      </w:r>
      <w:r>
        <w:t>trade</w:t>
      </w:r>
      <w:r w:rsidR="006E1909">
        <w:t>s</w:t>
      </w:r>
      <w:r>
        <w:t xml:space="preserve"> </w:t>
      </w:r>
      <w:r w:rsidR="006E1909">
        <w:t>are</w:t>
      </w:r>
      <w:r>
        <w:t xml:space="preserve"> selected, the Edit Special Instructions button is enabled and the feature is ready for use.</w:t>
      </w:r>
    </w:p>
    <w:p w14:paraId="7B9C59CA" w14:textId="225EB13B" w:rsidR="0058586A" w:rsidRDefault="005D2692" w:rsidP="00CC686E">
      <w:r>
        <w:t xml:space="preserve">The Trade </w:t>
      </w:r>
      <w:r w:rsidR="0058586A">
        <w:t>Instruction</w:t>
      </w:r>
      <w:r>
        <w:t xml:space="preserve"> (Buy Shares, Sell Shares)</w:t>
      </w:r>
      <w:r w:rsidR="0058586A">
        <w:t xml:space="preserve"> must be same for selected trades.</w:t>
      </w:r>
    </w:p>
    <w:p w14:paraId="79951BB1" w14:textId="7B2B42F2" w:rsidR="003553AF" w:rsidRDefault="003553AF" w:rsidP="00CC686E">
      <w:r>
        <w:rPr>
          <w:noProof/>
        </w:rPr>
        <w:drawing>
          <wp:inline distT="0" distB="0" distL="0" distR="0" wp14:anchorId="45B43A25" wp14:editId="1F2FB0FE">
            <wp:extent cx="5486400" cy="2784231"/>
            <wp:effectExtent l="19050" t="19050" r="1905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842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7B04E6" w14:textId="3280179B" w:rsidR="005D2692" w:rsidRDefault="005D2692">
      <w:r>
        <w:t xml:space="preserve">Once the </w:t>
      </w:r>
      <w:r w:rsidR="00F13FC8">
        <w:t>trade orders</w:t>
      </w:r>
      <w:r>
        <w:t xml:space="preserve"> are selected, a summary of the selection will display in the action dock.</w:t>
      </w:r>
    </w:p>
    <w:p w14:paraId="349FA5A0" w14:textId="0687BEAB" w:rsidR="005D2692" w:rsidRDefault="005D2692">
      <w:r>
        <w:rPr>
          <w:noProof/>
        </w:rPr>
        <w:drawing>
          <wp:inline distT="0" distB="0" distL="0" distR="0" wp14:anchorId="20AA5A0C" wp14:editId="296DCB7F">
            <wp:extent cx="5486400" cy="311834"/>
            <wp:effectExtent l="19050" t="19050" r="1905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18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A5BAF2" w14:textId="7477D7D3" w:rsidR="0058586A" w:rsidRDefault="005D2692">
      <w:r>
        <w:t xml:space="preserve"> </w:t>
      </w:r>
      <w:r w:rsidR="0058586A">
        <w:br w:type="page"/>
      </w:r>
    </w:p>
    <w:p w14:paraId="7A8B30CE" w14:textId="348F8D5C" w:rsidR="003553AF" w:rsidRDefault="007D56C8" w:rsidP="005D2692">
      <w:pPr>
        <w:pStyle w:val="Heading1"/>
        <w:rPr>
          <w:rFonts w:ascii="Helvetica" w:hAnsi="Helvetica" w:cs="Helvetica"/>
          <w:sz w:val="28"/>
          <w:szCs w:val="28"/>
        </w:rPr>
      </w:pPr>
      <w:bookmarkStart w:id="10" w:name="_Toc440442497"/>
      <w:r>
        <w:rPr>
          <w:rFonts w:ascii="Helvetica" w:hAnsi="Helvetica" w:cs="Helvetica"/>
          <w:sz w:val="28"/>
          <w:szCs w:val="28"/>
        </w:rPr>
        <w:lastRenderedPageBreak/>
        <w:t>Edit Special Instructions</w:t>
      </w:r>
      <w:bookmarkEnd w:id="10"/>
    </w:p>
    <w:p w14:paraId="6A38BA70" w14:textId="2B944D7F" w:rsidR="005D2692" w:rsidRPr="005D2692" w:rsidRDefault="007D56C8" w:rsidP="005D2692">
      <w:r>
        <w:t xml:space="preserve">The Special Instructions screen will display the instructions </w:t>
      </w:r>
      <w:r w:rsidR="00F13FC8">
        <w:t>as defined originally in the trade order</w:t>
      </w:r>
      <w:r>
        <w:t xml:space="preserve">. </w:t>
      </w:r>
    </w:p>
    <w:p w14:paraId="48DC4C7E" w14:textId="2D1CF01F" w:rsidR="0058586A" w:rsidRDefault="005608CB" w:rsidP="00CC686E">
      <w:r>
        <w:rPr>
          <w:noProof/>
        </w:rPr>
        <w:drawing>
          <wp:inline distT="0" distB="0" distL="0" distR="0" wp14:anchorId="4A34B073" wp14:editId="37CC9AC2">
            <wp:extent cx="4969510" cy="3808730"/>
            <wp:effectExtent l="19050" t="19050" r="21590" b="20320"/>
            <wp:docPr id="11" name="Picture 3" descr="C:\Users\cmoloney\AppData\Local\Temp\SNAGHTML124c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oloney\AppData\Local\Temp\SNAGHTML124ca2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3808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1A1DB45" w14:textId="049C1735" w:rsidR="00162DD8" w:rsidRPr="00162DD8" w:rsidRDefault="00162DD8" w:rsidP="00CC686E">
      <w:r w:rsidRPr="00162DD8">
        <w:t>The following parameters can be edited:</w:t>
      </w:r>
    </w:p>
    <w:p w14:paraId="1410EF83" w14:textId="220120B3" w:rsidR="0016418E" w:rsidRDefault="007D56C8" w:rsidP="00CC686E">
      <w:r w:rsidRPr="00162DD8">
        <w:rPr>
          <w:b/>
        </w:rPr>
        <w:t>Market Center:</w:t>
      </w:r>
      <w:r>
        <w:t xml:space="preserve"> Convergex, Wallach Beth.</w:t>
      </w:r>
    </w:p>
    <w:p w14:paraId="054EEACA" w14:textId="081B7FC3" w:rsidR="007D56C8" w:rsidRDefault="007D56C8" w:rsidP="00CC686E">
      <w:r w:rsidRPr="00162DD8">
        <w:rPr>
          <w:b/>
        </w:rPr>
        <w:t>Order Type</w:t>
      </w:r>
      <w:r>
        <w:t>: Market, Limit, Stop, Stop Limit.</w:t>
      </w:r>
    </w:p>
    <w:p w14:paraId="20504A19" w14:textId="4712AB51" w:rsidR="007D56C8" w:rsidRDefault="007D56C8" w:rsidP="00CC686E">
      <w:r w:rsidRPr="00162DD8">
        <w:rPr>
          <w:b/>
        </w:rPr>
        <w:t>Duration:</w:t>
      </w:r>
      <w:r>
        <w:t xml:space="preserve"> Day or Session Order, Good </w:t>
      </w:r>
      <w:proofErr w:type="gramStart"/>
      <w:r>
        <w:t>Till</w:t>
      </w:r>
      <w:proofErr w:type="gramEnd"/>
      <w:r>
        <w:t xml:space="preserve"> Cancel, At the Open, Good Till Date, At the Close</w:t>
      </w:r>
    </w:p>
    <w:p w14:paraId="32432974" w14:textId="49280ED2" w:rsidR="007D56C8" w:rsidRDefault="007D56C8" w:rsidP="00CC686E">
      <w:r w:rsidRPr="00162DD8">
        <w:rPr>
          <w:b/>
        </w:rPr>
        <w:t>Limit Price:</w:t>
      </w:r>
      <w:r w:rsidR="005608CB">
        <w:t xml:space="preserve"> </w:t>
      </w:r>
      <w:r w:rsidR="005608CB">
        <w:softHyphen/>
      </w:r>
      <w:r w:rsidR="005608CB">
        <w:softHyphen/>
        <w:t>Enter limit price if Limit is selected in Order Type.</w:t>
      </w:r>
    </w:p>
    <w:p w14:paraId="559A179D" w14:textId="7C9956BF" w:rsidR="007D56C8" w:rsidRDefault="007D56C8" w:rsidP="00CC686E">
      <w:r w:rsidRPr="00162DD8">
        <w:rPr>
          <w:b/>
        </w:rPr>
        <w:t>Stop Price</w:t>
      </w:r>
      <w:r>
        <w:t>:</w:t>
      </w:r>
      <w:r w:rsidR="005608CB">
        <w:t xml:space="preserve"> Enter Stop Price if </w:t>
      </w:r>
      <w:r w:rsidR="00162DD8">
        <w:t>Stop or Stop Limit is selected in Order Type.</w:t>
      </w:r>
    </w:p>
    <w:p w14:paraId="00150C9F" w14:textId="1134C491" w:rsidR="007D56C8" w:rsidRDefault="007D56C8" w:rsidP="00CC686E">
      <w:r w:rsidRPr="00162DD8">
        <w:rPr>
          <w:b/>
        </w:rPr>
        <w:t>Expiration Date:</w:t>
      </w:r>
      <w:r w:rsidR="005608CB">
        <w:t xml:space="preserve"> Enter expiration date only if Good Till Date is selected in the duration Option</w:t>
      </w:r>
    </w:p>
    <w:p w14:paraId="18F033B6" w14:textId="51FC85FD" w:rsidR="007D56C8" w:rsidRDefault="007D56C8" w:rsidP="00CC686E">
      <w:r w:rsidRPr="00162DD8">
        <w:rPr>
          <w:b/>
        </w:rPr>
        <w:t>Special Conditions:</w:t>
      </w:r>
      <w:r>
        <w:t xml:space="preserve"> </w:t>
      </w:r>
      <w:proofErr w:type="gramStart"/>
      <w:r>
        <w:t>None,</w:t>
      </w:r>
      <w:proofErr w:type="gramEnd"/>
      <w:r>
        <w:t xml:space="preserve"> Not Held.</w:t>
      </w:r>
    </w:p>
    <w:p w14:paraId="68C124C4" w14:textId="3F59DD91" w:rsidR="0016418E" w:rsidRDefault="0016418E">
      <w:r>
        <w:br w:type="page"/>
      </w:r>
    </w:p>
    <w:p w14:paraId="75A65C08" w14:textId="708A7194" w:rsidR="0016418E" w:rsidRPr="00162DD8" w:rsidRDefault="0016418E" w:rsidP="00162DD8">
      <w:pPr>
        <w:pStyle w:val="Heading1"/>
        <w:rPr>
          <w:rFonts w:ascii="Helvetica" w:hAnsi="Helvetica" w:cs="Helvetica"/>
          <w:sz w:val="28"/>
          <w:szCs w:val="28"/>
        </w:rPr>
      </w:pPr>
      <w:bookmarkStart w:id="11" w:name="_Toc440442498"/>
      <w:r w:rsidRPr="00162DD8">
        <w:rPr>
          <w:rFonts w:ascii="Helvetica" w:hAnsi="Helvetica" w:cs="Helvetica"/>
          <w:sz w:val="28"/>
          <w:szCs w:val="28"/>
        </w:rPr>
        <w:lastRenderedPageBreak/>
        <w:t>General Usage Notes</w:t>
      </w:r>
      <w:bookmarkEnd w:id="11"/>
    </w:p>
    <w:p w14:paraId="7CF5BC0D" w14:textId="4E32A911" w:rsidR="006E1909" w:rsidRDefault="006E1909" w:rsidP="00162DD8">
      <w:pPr>
        <w:pStyle w:val="ListParagraph"/>
        <w:numPr>
          <w:ilvl w:val="0"/>
          <w:numId w:val="21"/>
        </w:numPr>
      </w:pPr>
      <w:r>
        <w:t>Depending on the nature of a trade, some parameters may be disabled. Please contact your Relationship Manager for further information.</w:t>
      </w:r>
    </w:p>
    <w:p w14:paraId="7505EAD7" w14:textId="1F0BB88C" w:rsidR="00162DD8" w:rsidRDefault="00162DD8" w:rsidP="00162DD8">
      <w:pPr>
        <w:pStyle w:val="ListParagraph"/>
        <w:numPr>
          <w:ilvl w:val="0"/>
          <w:numId w:val="21"/>
        </w:numPr>
      </w:pPr>
      <w:r>
        <w:t>If selected equities are different, Order Type will be disabled.</w:t>
      </w:r>
    </w:p>
    <w:p w14:paraId="4C9508DC" w14:textId="50BDDE73" w:rsidR="0016418E" w:rsidRDefault="00162DD8" w:rsidP="00162DD8">
      <w:pPr>
        <w:pStyle w:val="ListParagraph"/>
        <w:numPr>
          <w:ilvl w:val="0"/>
          <w:numId w:val="21"/>
        </w:numPr>
      </w:pPr>
      <w:r>
        <w:t>This feature o</w:t>
      </w:r>
      <w:r w:rsidR="0016418E">
        <w:t>nly applies to equity asset types</w:t>
      </w:r>
      <w:r>
        <w:t>.</w:t>
      </w:r>
    </w:p>
    <w:p w14:paraId="71FA2ECC" w14:textId="1A2B4CC9" w:rsidR="00162DD8" w:rsidRDefault="00162DD8" w:rsidP="00162DD8">
      <w:pPr>
        <w:pStyle w:val="ListParagraph"/>
        <w:numPr>
          <w:ilvl w:val="0"/>
          <w:numId w:val="21"/>
        </w:numPr>
      </w:pPr>
      <w:r>
        <w:t>If selected equities are different, Order Type will be disabled.</w:t>
      </w:r>
    </w:p>
    <w:p w14:paraId="1FB39360" w14:textId="61138912" w:rsidR="00162DD8" w:rsidRDefault="00162DD8" w:rsidP="00162DD8">
      <w:pPr>
        <w:pStyle w:val="ListParagraph"/>
        <w:numPr>
          <w:ilvl w:val="0"/>
          <w:numId w:val="21"/>
        </w:numPr>
      </w:pPr>
      <w:r>
        <w:t>There is no upper limit to how many Special Instructions can be edited at the same time.</w:t>
      </w:r>
    </w:p>
    <w:p w14:paraId="67F3FD2F" w14:textId="549958F1" w:rsidR="0016418E" w:rsidRDefault="00F13FC8" w:rsidP="00162DD8">
      <w:pPr>
        <w:pStyle w:val="ListParagraph"/>
        <w:numPr>
          <w:ilvl w:val="0"/>
          <w:numId w:val="21"/>
        </w:numPr>
      </w:pPr>
      <w:r>
        <w:t>Individual Trade Order</w:t>
      </w:r>
      <w:r w:rsidR="00162DD8">
        <w:t xml:space="preserve"> Sp</w:t>
      </w:r>
      <w:r w:rsidR="0016418E">
        <w:t xml:space="preserve">ecial instructions can </w:t>
      </w:r>
      <w:r w:rsidR="00162DD8">
        <w:t xml:space="preserve">also </w:t>
      </w:r>
      <w:r w:rsidR="0016418E">
        <w:t xml:space="preserve">be edited within </w:t>
      </w:r>
      <w:r>
        <w:t xml:space="preserve">the trade order </w:t>
      </w:r>
      <w:r w:rsidR="00162DD8">
        <w:t>:</w:t>
      </w:r>
    </w:p>
    <w:p w14:paraId="17E9F5D1" w14:textId="11E8ACE7" w:rsidR="00162DD8" w:rsidRDefault="00162DD8" w:rsidP="00CC686E">
      <w:r>
        <w:rPr>
          <w:noProof/>
        </w:rPr>
        <w:drawing>
          <wp:inline distT="0" distB="0" distL="0" distR="0" wp14:anchorId="263DE54C" wp14:editId="2F12A6C5">
            <wp:extent cx="5486400" cy="3606018"/>
            <wp:effectExtent l="19050" t="19050" r="19050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060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3"/>
    <w:bookmarkEnd w:id="4"/>
    <w:p w14:paraId="007545E6" w14:textId="0A2D771E" w:rsidR="00463FEB" w:rsidRDefault="00463FEB" w:rsidP="00CC686E"/>
    <w:sectPr w:rsidR="00463FEB" w:rsidSect="003E53B7">
      <w:headerReference w:type="default" r:id="rId16"/>
      <w:footerReference w:type="default" r:id="rId17"/>
      <w:headerReference w:type="first" r:id="rId18"/>
      <w:type w:val="continuous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5CB58" w14:textId="77777777" w:rsidR="00791D55" w:rsidRDefault="00791D55" w:rsidP="00AC1E8E">
      <w:pPr>
        <w:spacing w:after="0" w:line="240" w:lineRule="auto"/>
      </w:pPr>
      <w:r>
        <w:separator/>
      </w:r>
    </w:p>
    <w:p w14:paraId="0FE6E728" w14:textId="77777777" w:rsidR="00791D55" w:rsidRDefault="00791D55"/>
  </w:endnote>
  <w:endnote w:type="continuationSeparator" w:id="0">
    <w:p w14:paraId="071F9020" w14:textId="77777777" w:rsidR="00791D55" w:rsidRDefault="00791D55" w:rsidP="00AC1E8E">
      <w:pPr>
        <w:spacing w:after="0" w:line="240" w:lineRule="auto"/>
      </w:pPr>
      <w:r>
        <w:continuationSeparator/>
      </w:r>
    </w:p>
    <w:p w14:paraId="60E8C1C3" w14:textId="77777777" w:rsidR="00791D55" w:rsidRDefault="00791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3E16" w14:textId="43FB7BA6" w:rsidR="0097481F" w:rsidRPr="003C224F" w:rsidRDefault="0053350E" w:rsidP="00791A09">
    <w:pPr>
      <w:pStyle w:val="Footer"/>
      <w:tabs>
        <w:tab w:val="clear" w:pos="4680"/>
      </w:tabs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CONFIDENTIAL</w:t>
    </w:r>
    <w:r>
      <w:rPr>
        <w:rFonts w:ascii="Helvetica" w:hAnsi="Helvetica"/>
        <w:sz w:val="16"/>
        <w:szCs w:val="16"/>
      </w:rPr>
      <w:br/>
      <w:t>© 201</w:t>
    </w:r>
    <w:r w:rsidR="00162DD8">
      <w:rPr>
        <w:rFonts w:ascii="Helvetica" w:hAnsi="Helvetica"/>
        <w:sz w:val="16"/>
        <w:szCs w:val="16"/>
      </w:rPr>
      <w:t>6</w:t>
    </w:r>
    <w:r w:rsidR="0097481F" w:rsidRPr="003C224F">
      <w:rPr>
        <w:rFonts w:ascii="Helvetica" w:hAnsi="Helvetica"/>
        <w:sz w:val="16"/>
        <w:szCs w:val="16"/>
      </w:rPr>
      <w:t xml:space="preserve"> Trust Company o</w:t>
    </w:r>
    <w:r w:rsidR="0097481F">
      <w:rPr>
        <w:rFonts w:ascii="Helvetica" w:hAnsi="Helvetica"/>
        <w:sz w:val="16"/>
        <w:szCs w:val="16"/>
      </w:rPr>
      <w:t>f America.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6654E" w14:textId="77777777" w:rsidR="00791D55" w:rsidRDefault="00791D55" w:rsidP="00AC1E8E">
      <w:pPr>
        <w:spacing w:after="0" w:line="240" w:lineRule="auto"/>
      </w:pPr>
      <w:r>
        <w:separator/>
      </w:r>
    </w:p>
    <w:p w14:paraId="25B95DDE" w14:textId="77777777" w:rsidR="00791D55" w:rsidRDefault="00791D55"/>
  </w:footnote>
  <w:footnote w:type="continuationSeparator" w:id="0">
    <w:p w14:paraId="2DE0BF96" w14:textId="77777777" w:rsidR="00791D55" w:rsidRDefault="00791D55" w:rsidP="00AC1E8E">
      <w:pPr>
        <w:spacing w:after="0" w:line="240" w:lineRule="auto"/>
      </w:pPr>
      <w:r>
        <w:continuationSeparator/>
      </w:r>
    </w:p>
    <w:p w14:paraId="2222995D" w14:textId="77777777" w:rsidR="00791D55" w:rsidRDefault="00791D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6C865" w14:textId="77777777" w:rsidR="0097481F" w:rsidRPr="003C224F" w:rsidRDefault="0097481F" w:rsidP="003E53B7">
    <w:pPr>
      <w:pStyle w:val="Header"/>
      <w:framePr w:wrap="around" w:vAnchor="text" w:hAnchor="page" w:x="10261" w:y="1"/>
      <w:rPr>
        <w:rStyle w:val="PageNumber"/>
        <w:rFonts w:ascii="Helvetica" w:hAnsi="Helvetica"/>
      </w:rPr>
    </w:pPr>
    <w:r w:rsidRPr="003C224F">
      <w:rPr>
        <w:rStyle w:val="PageNumber"/>
        <w:rFonts w:ascii="Helvetica" w:hAnsi="Helvetica"/>
      </w:rPr>
      <w:fldChar w:fldCharType="begin"/>
    </w:r>
    <w:r w:rsidRPr="003C224F">
      <w:rPr>
        <w:rStyle w:val="PageNumber"/>
        <w:rFonts w:ascii="Helvetica" w:hAnsi="Helvetica"/>
      </w:rPr>
      <w:instrText xml:space="preserve">PAGE  </w:instrText>
    </w:r>
    <w:r w:rsidRPr="003C224F">
      <w:rPr>
        <w:rStyle w:val="PageNumber"/>
        <w:rFonts w:ascii="Helvetica" w:hAnsi="Helvetica"/>
      </w:rPr>
      <w:fldChar w:fldCharType="separate"/>
    </w:r>
    <w:r w:rsidR="00F13FC8">
      <w:rPr>
        <w:rStyle w:val="PageNumber"/>
        <w:rFonts w:ascii="Helvetica" w:hAnsi="Helvetica"/>
        <w:noProof/>
      </w:rPr>
      <w:t>2</w:t>
    </w:r>
    <w:r w:rsidRPr="003C224F">
      <w:rPr>
        <w:rStyle w:val="PageNumber"/>
        <w:rFonts w:ascii="Helvetica" w:hAnsi="Helvetica"/>
      </w:rPr>
      <w:fldChar w:fldCharType="end"/>
    </w:r>
  </w:p>
  <w:p w14:paraId="1E68CCE0" w14:textId="04DEBB27" w:rsidR="0097481F" w:rsidRDefault="0097481F" w:rsidP="003C224F">
    <w:pPr>
      <w:pStyle w:val="Header"/>
      <w:ind w:right="360"/>
    </w:pPr>
    <w:r w:rsidRPr="003C224F">
      <w:rPr>
        <w:rFonts w:ascii="Helvetica" w:hAnsi="Helvetica"/>
        <w:noProof/>
      </w:rPr>
      <w:drawing>
        <wp:anchor distT="0" distB="0" distL="114300" distR="114300" simplePos="0" relativeHeight="251663360" behindDoc="1" locked="0" layoutInCell="1" allowOverlap="1" wp14:anchorId="4281651F" wp14:editId="551DF56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8229" cy="9144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 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229" cy="9144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DD8">
      <w:rPr>
        <w:rFonts w:ascii="Helvetica" w:hAnsi="Helvetica"/>
      </w:rPr>
      <w:t>Edit Special Inst</w:t>
    </w:r>
    <w:r w:rsidR="00F13FC8">
      <w:rPr>
        <w:rFonts w:ascii="Helvetica" w:hAnsi="Helvetica"/>
      </w:rPr>
      <w:t>ructions for Multiple Trade Orders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1A18E" w14:textId="67AD0466" w:rsidR="0097481F" w:rsidRPr="003E53B7" w:rsidRDefault="0097481F" w:rsidP="003E53B7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63A45D2" wp14:editId="5E02FD5A">
          <wp:simplePos x="0" y="0"/>
          <wp:positionH relativeFrom="column">
            <wp:posOffset>4343400</wp:posOffset>
          </wp:positionH>
          <wp:positionV relativeFrom="paragraph">
            <wp:posOffset>-114300</wp:posOffset>
          </wp:positionV>
          <wp:extent cx="1384300" cy="977900"/>
          <wp:effectExtent l="0" t="0" r="1270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colorREV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BA38941" wp14:editId="09B1E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659" cy="100587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 1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0058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449"/>
    <w:multiLevelType w:val="hybridMultilevel"/>
    <w:tmpl w:val="C7A48272"/>
    <w:lvl w:ilvl="0" w:tplc="698E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E2D"/>
    <w:multiLevelType w:val="hybridMultilevel"/>
    <w:tmpl w:val="1E5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7925"/>
    <w:multiLevelType w:val="hybridMultilevel"/>
    <w:tmpl w:val="F66A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C70B9"/>
    <w:multiLevelType w:val="hybridMultilevel"/>
    <w:tmpl w:val="BCB2A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47D4B"/>
    <w:multiLevelType w:val="hybridMultilevel"/>
    <w:tmpl w:val="FBA21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79B2"/>
    <w:multiLevelType w:val="hybridMultilevel"/>
    <w:tmpl w:val="FB6E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763B"/>
    <w:multiLevelType w:val="hybridMultilevel"/>
    <w:tmpl w:val="07627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320E37"/>
    <w:multiLevelType w:val="hybridMultilevel"/>
    <w:tmpl w:val="FF2E1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293594"/>
    <w:multiLevelType w:val="hybridMultilevel"/>
    <w:tmpl w:val="2A82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D16D6"/>
    <w:multiLevelType w:val="hybridMultilevel"/>
    <w:tmpl w:val="01487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3D452A"/>
    <w:multiLevelType w:val="hybridMultilevel"/>
    <w:tmpl w:val="C7A48272"/>
    <w:lvl w:ilvl="0" w:tplc="698E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613A2"/>
    <w:multiLevelType w:val="hybridMultilevel"/>
    <w:tmpl w:val="B5C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454"/>
    <w:multiLevelType w:val="hybridMultilevel"/>
    <w:tmpl w:val="CC8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22F"/>
    <w:multiLevelType w:val="hybridMultilevel"/>
    <w:tmpl w:val="1EE6C016"/>
    <w:lvl w:ilvl="0" w:tplc="B776D788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7A6BC58">
      <w:start w:val="1"/>
      <w:numFmt w:val="bullet"/>
      <w:pStyle w:val="ListBulletinden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F32223"/>
    <w:multiLevelType w:val="hybridMultilevel"/>
    <w:tmpl w:val="A9EA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21D30"/>
    <w:multiLevelType w:val="hybridMultilevel"/>
    <w:tmpl w:val="E0B07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8C20A4"/>
    <w:multiLevelType w:val="hybridMultilevel"/>
    <w:tmpl w:val="D182E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DA2F6A"/>
    <w:multiLevelType w:val="hybridMultilevel"/>
    <w:tmpl w:val="5E5C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0731E"/>
    <w:multiLevelType w:val="hybridMultilevel"/>
    <w:tmpl w:val="0D22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B1E37"/>
    <w:multiLevelType w:val="hybridMultilevel"/>
    <w:tmpl w:val="D02C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46AC1"/>
    <w:multiLevelType w:val="hybridMultilevel"/>
    <w:tmpl w:val="8B56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8"/>
  </w:num>
  <w:num w:numId="8">
    <w:abstractNumId w:val="15"/>
  </w:num>
  <w:num w:numId="9">
    <w:abstractNumId w:val="11"/>
  </w:num>
  <w:num w:numId="10">
    <w:abstractNumId w:val="20"/>
  </w:num>
  <w:num w:numId="11">
    <w:abstractNumId w:val="19"/>
  </w:num>
  <w:num w:numId="12">
    <w:abstractNumId w:val="5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17"/>
  </w:num>
  <w:num w:numId="20">
    <w:abstractNumId w:val="20"/>
  </w:num>
  <w:num w:numId="21">
    <w:abstractNumId w:val="2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8E"/>
    <w:rsid w:val="0000715C"/>
    <w:rsid w:val="00014A37"/>
    <w:rsid w:val="0001573A"/>
    <w:rsid w:val="000246E0"/>
    <w:rsid w:val="00025D78"/>
    <w:rsid w:val="0002613F"/>
    <w:rsid w:val="000270E3"/>
    <w:rsid w:val="000351EA"/>
    <w:rsid w:val="00040B17"/>
    <w:rsid w:val="0007184B"/>
    <w:rsid w:val="000911F0"/>
    <w:rsid w:val="00095B01"/>
    <w:rsid w:val="00096B9E"/>
    <w:rsid w:val="000A01D8"/>
    <w:rsid w:val="000B5BCC"/>
    <w:rsid w:val="000C0E21"/>
    <w:rsid w:val="000C5971"/>
    <w:rsid w:val="000D541D"/>
    <w:rsid w:val="000D61E4"/>
    <w:rsid w:val="000D63CE"/>
    <w:rsid w:val="000E1754"/>
    <w:rsid w:val="000E582B"/>
    <w:rsid w:val="00104308"/>
    <w:rsid w:val="00106D87"/>
    <w:rsid w:val="001072BB"/>
    <w:rsid w:val="00112774"/>
    <w:rsid w:val="001355DC"/>
    <w:rsid w:val="0013561F"/>
    <w:rsid w:val="00136081"/>
    <w:rsid w:val="00144114"/>
    <w:rsid w:val="00162DD8"/>
    <w:rsid w:val="0016418E"/>
    <w:rsid w:val="00170F32"/>
    <w:rsid w:val="001802B6"/>
    <w:rsid w:val="00186CEE"/>
    <w:rsid w:val="00187CBD"/>
    <w:rsid w:val="00195C86"/>
    <w:rsid w:val="001A1AEF"/>
    <w:rsid w:val="001A23FC"/>
    <w:rsid w:val="001C0EA0"/>
    <w:rsid w:val="001C2302"/>
    <w:rsid w:val="001C4A47"/>
    <w:rsid w:val="001C7BC1"/>
    <w:rsid w:val="001D3DD9"/>
    <w:rsid w:val="001D6266"/>
    <w:rsid w:val="001E0846"/>
    <w:rsid w:val="001E1D58"/>
    <w:rsid w:val="001F01E9"/>
    <w:rsid w:val="001F201F"/>
    <w:rsid w:val="002031F8"/>
    <w:rsid w:val="002060B3"/>
    <w:rsid w:val="00217A18"/>
    <w:rsid w:val="00220038"/>
    <w:rsid w:val="00226571"/>
    <w:rsid w:val="0023132B"/>
    <w:rsid w:val="0023699C"/>
    <w:rsid w:val="00236F89"/>
    <w:rsid w:val="00252D5E"/>
    <w:rsid w:val="00256D29"/>
    <w:rsid w:val="00264D0A"/>
    <w:rsid w:val="00274310"/>
    <w:rsid w:val="00283EC5"/>
    <w:rsid w:val="002A761E"/>
    <w:rsid w:val="002B2025"/>
    <w:rsid w:val="002B34D1"/>
    <w:rsid w:val="002B3BA2"/>
    <w:rsid w:val="002B5C60"/>
    <w:rsid w:val="002C6BFF"/>
    <w:rsid w:val="002D5D0E"/>
    <w:rsid w:val="002E362E"/>
    <w:rsid w:val="002E77BC"/>
    <w:rsid w:val="003065A4"/>
    <w:rsid w:val="0031244C"/>
    <w:rsid w:val="00314361"/>
    <w:rsid w:val="003300F1"/>
    <w:rsid w:val="003345A9"/>
    <w:rsid w:val="00346C91"/>
    <w:rsid w:val="003553AF"/>
    <w:rsid w:val="00356E52"/>
    <w:rsid w:val="003571F5"/>
    <w:rsid w:val="003605C6"/>
    <w:rsid w:val="003613E0"/>
    <w:rsid w:val="00361823"/>
    <w:rsid w:val="003635D3"/>
    <w:rsid w:val="00363AD4"/>
    <w:rsid w:val="00364D62"/>
    <w:rsid w:val="003809FB"/>
    <w:rsid w:val="00383461"/>
    <w:rsid w:val="00393FFA"/>
    <w:rsid w:val="003B673C"/>
    <w:rsid w:val="003C224F"/>
    <w:rsid w:val="003C5CE7"/>
    <w:rsid w:val="003E53B7"/>
    <w:rsid w:val="003F4446"/>
    <w:rsid w:val="003F707A"/>
    <w:rsid w:val="004034C0"/>
    <w:rsid w:val="0041610D"/>
    <w:rsid w:val="00416699"/>
    <w:rsid w:val="00416A66"/>
    <w:rsid w:val="004237A7"/>
    <w:rsid w:val="00432409"/>
    <w:rsid w:val="00435314"/>
    <w:rsid w:val="00437BBF"/>
    <w:rsid w:val="00440092"/>
    <w:rsid w:val="0044292A"/>
    <w:rsid w:val="00463FEB"/>
    <w:rsid w:val="00470D3A"/>
    <w:rsid w:val="00487E5C"/>
    <w:rsid w:val="004A3E99"/>
    <w:rsid w:val="004A6003"/>
    <w:rsid w:val="004B027D"/>
    <w:rsid w:val="004B670F"/>
    <w:rsid w:val="004B6CDC"/>
    <w:rsid w:val="004D04EE"/>
    <w:rsid w:val="004D6997"/>
    <w:rsid w:val="004E0CFD"/>
    <w:rsid w:val="004E169C"/>
    <w:rsid w:val="004E21E9"/>
    <w:rsid w:val="004E4FAC"/>
    <w:rsid w:val="004E669A"/>
    <w:rsid w:val="004E6F6E"/>
    <w:rsid w:val="004F0F09"/>
    <w:rsid w:val="004F55E2"/>
    <w:rsid w:val="005053C0"/>
    <w:rsid w:val="00510C28"/>
    <w:rsid w:val="00522A22"/>
    <w:rsid w:val="0053350E"/>
    <w:rsid w:val="00533642"/>
    <w:rsid w:val="00547705"/>
    <w:rsid w:val="00547B60"/>
    <w:rsid w:val="0055341A"/>
    <w:rsid w:val="0055473D"/>
    <w:rsid w:val="005608CB"/>
    <w:rsid w:val="00571191"/>
    <w:rsid w:val="00571FEE"/>
    <w:rsid w:val="0058586A"/>
    <w:rsid w:val="005A247D"/>
    <w:rsid w:val="005A3269"/>
    <w:rsid w:val="005B1554"/>
    <w:rsid w:val="005C2281"/>
    <w:rsid w:val="005D2692"/>
    <w:rsid w:val="005E403A"/>
    <w:rsid w:val="005F0564"/>
    <w:rsid w:val="006003B4"/>
    <w:rsid w:val="00603006"/>
    <w:rsid w:val="00606203"/>
    <w:rsid w:val="00607546"/>
    <w:rsid w:val="00610E8D"/>
    <w:rsid w:val="0061114B"/>
    <w:rsid w:val="00612D79"/>
    <w:rsid w:val="00615F42"/>
    <w:rsid w:val="00620B9D"/>
    <w:rsid w:val="0063594C"/>
    <w:rsid w:val="0065740F"/>
    <w:rsid w:val="00660CBA"/>
    <w:rsid w:val="00662E6F"/>
    <w:rsid w:val="00667E9B"/>
    <w:rsid w:val="006832C6"/>
    <w:rsid w:val="00683E7A"/>
    <w:rsid w:val="0068667B"/>
    <w:rsid w:val="0069643C"/>
    <w:rsid w:val="006A3B92"/>
    <w:rsid w:val="006A7947"/>
    <w:rsid w:val="006A7C26"/>
    <w:rsid w:val="006B33BC"/>
    <w:rsid w:val="006B7FBA"/>
    <w:rsid w:val="006C3590"/>
    <w:rsid w:val="006C61B0"/>
    <w:rsid w:val="006C651F"/>
    <w:rsid w:val="006D0B21"/>
    <w:rsid w:val="006D429B"/>
    <w:rsid w:val="006D52B8"/>
    <w:rsid w:val="006E04A1"/>
    <w:rsid w:val="006E1909"/>
    <w:rsid w:val="006E220B"/>
    <w:rsid w:val="006E5E06"/>
    <w:rsid w:val="006E5EB3"/>
    <w:rsid w:val="006E7772"/>
    <w:rsid w:val="0070065D"/>
    <w:rsid w:val="0070197B"/>
    <w:rsid w:val="00701B2C"/>
    <w:rsid w:val="007036F7"/>
    <w:rsid w:val="00704F8B"/>
    <w:rsid w:val="0072205A"/>
    <w:rsid w:val="00724C2E"/>
    <w:rsid w:val="0072683C"/>
    <w:rsid w:val="00733176"/>
    <w:rsid w:val="00745AD3"/>
    <w:rsid w:val="00761C25"/>
    <w:rsid w:val="00763D84"/>
    <w:rsid w:val="007728FB"/>
    <w:rsid w:val="00783312"/>
    <w:rsid w:val="00784AE7"/>
    <w:rsid w:val="00791A09"/>
    <w:rsid w:val="00791D55"/>
    <w:rsid w:val="007A041B"/>
    <w:rsid w:val="007A2BB1"/>
    <w:rsid w:val="007B0CA6"/>
    <w:rsid w:val="007B21AA"/>
    <w:rsid w:val="007B670B"/>
    <w:rsid w:val="007B76FF"/>
    <w:rsid w:val="007C0C5C"/>
    <w:rsid w:val="007C5047"/>
    <w:rsid w:val="007C68CF"/>
    <w:rsid w:val="007C781B"/>
    <w:rsid w:val="007D2923"/>
    <w:rsid w:val="007D56C8"/>
    <w:rsid w:val="007D5800"/>
    <w:rsid w:val="007E6B0E"/>
    <w:rsid w:val="007F396B"/>
    <w:rsid w:val="007F6FF7"/>
    <w:rsid w:val="00803E24"/>
    <w:rsid w:val="00804C2C"/>
    <w:rsid w:val="00805190"/>
    <w:rsid w:val="00812BAE"/>
    <w:rsid w:val="00815C87"/>
    <w:rsid w:val="00823508"/>
    <w:rsid w:val="00825272"/>
    <w:rsid w:val="0083530D"/>
    <w:rsid w:val="00841EDA"/>
    <w:rsid w:val="008462B2"/>
    <w:rsid w:val="0084754A"/>
    <w:rsid w:val="00854613"/>
    <w:rsid w:val="00856F26"/>
    <w:rsid w:val="00876D1F"/>
    <w:rsid w:val="0089351E"/>
    <w:rsid w:val="008A1BC0"/>
    <w:rsid w:val="008A5968"/>
    <w:rsid w:val="008A7FDC"/>
    <w:rsid w:val="008B0DDA"/>
    <w:rsid w:val="008B2385"/>
    <w:rsid w:val="008C080A"/>
    <w:rsid w:val="008C681D"/>
    <w:rsid w:val="008D4708"/>
    <w:rsid w:val="008D75F3"/>
    <w:rsid w:val="008E3CAA"/>
    <w:rsid w:val="008E6EA9"/>
    <w:rsid w:val="008E6F6B"/>
    <w:rsid w:val="009027AB"/>
    <w:rsid w:val="0090295C"/>
    <w:rsid w:val="00912DFB"/>
    <w:rsid w:val="0091578A"/>
    <w:rsid w:val="00915D7C"/>
    <w:rsid w:val="00924BCF"/>
    <w:rsid w:val="00934A58"/>
    <w:rsid w:val="00935EA1"/>
    <w:rsid w:val="00941488"/>
    <w:rsid w:val="00950165"/>
    <w:rsid w:val="00953242"/>
    <w:rsid w:val="00955020"/>
    <w:rsid w:val="00971308"/>
    <w:rsid w:val="00971534"/>
    <w:rsid w:val="009727B2"/>
    <w:rsid w:val="00973D10"/>
    <w:rsid w:val="0097481F"/>
    <w:rsid w:val="00982E00"/>
    <w:rsid w:val="00986CA9"/>
    <w:rsid w:val="00997C7B"/>
    <w:rsid w:val="009A0296"/>
    <w:rsid w:val="009A08B7"/>
    <w:rsid w:val="009A0EB8"/>
    <w:rsid w:val="009A47BE"/>
    <w:rsid w:val="009B3598"/>
    <w:rsid w:val="009B63EA"/>
    <w:rsid w:val="009B7567"/>
    <w:rsid w:val="009B77F5"/>
    <w:rsid w:val="009C20B5"/>
    <w:rsid w:val="009C541B"/>
    <w:rsid w:val="009C5F6A"/>
    <w:rsid w:val="009D55D6"/>
    <w:rsid w:val="009D7D7B"/>
    <w:rsid w:val="009E5B78"/>
    <w:rsid w:val="009E5E86"/>
    <w:rsid w:val="009F26C7"/>
    <w:rsid w:val="009F45B8"/>
    <w:rsid w:val="00A306E6"/>
    <w:rsid w:val="00A36AC0"/>
    <w:rsid w:val="00A461B6"/>
    <w:rsid w:val="00A648E4"/>
    <w:rsid w:val="00A65B32"/>
    <w:rsid w:val="00A70C70"/>
    <w:rsid w:val="00A754C3"/>
    <w:rsid w:val="00A84A61"/>
    <w:rsid w:val="00A86061"/>
    <w:rsid w:val="00A86768"/>
    <w:rsid w:val="00A95BE2"/>
    <w:rsid w:val="00AA390A"/>
    <w:rsid w:val="00AB41AB"/>
    <w:rsid w:val="00AC1E8E"/>
    <w:rsid w:val="00AD1B1E"/>
    <w:rsid w:val="00AD625E"/>
    <w:rsid w:val="00AE2946"/>
    <w:rsid w:val="00AF01DF"/>
    <w:rsid w:val="00AF1D37"/>
    <w:rsid w:val="00AF391F"/>
    <w:rsid w:val="00AF46BC"/>
    <w:rsid w:val="00B018CE"/>
    <w:rsid w:val="00B11549"/>
    <w:rsid w:val="00B1425D"/>
    <w:rsid w:val="00B20C37"/>
    <w:rsid w:val="00B276BA"/>
    <w:rsid w:val="00B33185"/>
    <w:rsid w:val="00B402F9"/>
    <w:rsid w:val="00B50798"/>
    <w:rsid w:val="00B514E4"/>
    <w:rsid w:val="00B531E6"/>
    <w:rsid w:val="00B63582"/>
    <w:rsid w:val="00B66023"/>
    <w:rsid w:val="00B70A6F"/>
    <w:rsid w:val="00B73F49"/>
    <w:rsid w:val="00B87B28"/>
    <w:rsid w:val="00BA7924"/>
    <w:rsid w:val="00BB298B"/>
    <w:rsid w:val="00BB326E"/>
    <w:rsid w:val="00BB4092"/>
    <w:rsid w:val="00BC2D68"/>
    <w:rsid w:val="00BC784C"/>
    <w:rsid w:val="00BD0080"/>
    <w:rsid w:val="00BE03B9"/>
    <w:rsid w:val="00BE6CDF"/>
    <w:rsid w:val="00BE7973"/>
    <w:rsid w:val="00C00437"/>
    <w:rsid w:val="00C0396D"/>
    <w:rsid w:val="00C05EA5"/>
    <w:rsid w:val="00C125DF"/>
    <w:rsid w:val="00C1554D"/>
    <w:rsid w:val="00C2418F"/>
    <w:rsid w:val="00C27183"/>
    <w:rsid w:val="00C43A90"/>
    <w:rsid w:val="00C639E3"/>
    <w:rsid w:val="00C63AB9"/>
    <w:rsid w:val="00C72E0C"/>
    <w:rsid w:val="00C73FEA"/>
    <w:rsid w:val="00C74B58"/>
    <w:rsid w:val="00C77211"/>
    <w:rsid w:val="00CA1FAC"/>
    <w:rsid w:val="00CA2538"/>
    <w:rsid w:val="00CB5B88"/>
    <w:rsid w:val="00CC686E"/>
    <w:rsid w:val="00CE4A5D"/>
    <w:rsid w:val="00CE6382"/>
    <w:rsid w:val="00CF24AF"/>
    <w:rsid w:val="00D01C9A"/>
    <w:rsid w:val="00D052E6"/>
    <w:rsid w:val="00D216BF"/>
    <w:rsid w:val="00D2436B"/>
    <w:rsid w:val="00D24945"/>
    <w:rsid w:val="00D30E99"/>
    <w:rsid w:val="00D34382"/>
    <w:rsid w:val="00D50ADB"/>
    <w:rsid w:val="00D51785"/>
    <w:rsid w:val="00D53967"/>
    <w:rsid w:val="00D563C5"/>
    <w:rsid w:val="00D7089C"/>
    <w:rsid w:val="00D726B7"/>
    <w:rsid w:val="00D73102"/>
    <w:rsid w:val="00D74221"/>
    <w:rsid w:val="00D967CD"/>
    <w:rsid w:val="00D97D84"/>
    <w:rsid w:val="00DA092C"/>
    <w:rsid w:val="00DB3EC4"/>
    <w:rsid w:val="00DB62CA"/>
    <w:rsid w:val="00DD72A5"/>
    <w:rsid w:val="00DD7841"/>
    <w:rsid w:val="00DE6978"/>
    <w:rsid w:val="00DF0858"/>
    <w:rsid w:val="00DF0890"/>
    <w:rsid w:val="00E03AF2"/>
    <w:rsid w:val="00E15046"/>
    <w:rsid w:val="00E22E19"/>
    <w:rsid w:val="00E25578"/>
    <w:rsid w:val="00E3209D"/>
    <w:rsid w:val="00E324C1"/>
    <w:rsid w:val="00E32663"/>
    <w:rsid w:val="00E33748"/>
    <w:rsid w:val="00E42610"/>
    <w:rsid w:val="00E4443F"/>
    <w:rsid w:val="00E5579B"/>
    <w:rsid w:val="00E74893"/>
    <w:rsid w:val="00E81926"/>
    <w:rsid w:val="00E82863"/>
    <w:rsid w:val="00E83F5C"/>
    <w:rsid w:val="00E90508"/>
    <w:rsid w:val="00E90EA2"/>
    <w:rsid w:val="00E929FC"/>
    <w:rsid w:val="00E943D6"/>
    <w:rsid w:val="00E947CF"/>
    <w:rsid w:val="00EA5F5C"/>
    <w:rsid w:val="00EB3952"/>
    <w:rsid w:val="00EB3B7C"/>
    <w:rsid w:val="00EB65E4"/>
    <w:rsid w:val="00EC0DAA"/>
    <w:rsid w:val="00EC35F5"/>
    <w:rsid w:val="00ED1DBA"/>
    <w:rsid w:val="00ED2329"/>
    <w:rsid w:val="00ED4200"/>
    <w:rsid w:val="00ED74FD"/>
    <w:rsid w:val="00ED7550"/>
    <w:rsid w:val="00ED7D42"/>
    <w:rsid w:val="00EE1AF3"/>
    <w:rsid w:val="00EE6A56"/>
    <w:rsid w:val="00EE74E1"/>
    <w:rsid w:val="00EE7CA7"/>
    <w:rsid w:val="00EF18FD"/>
    <w:rsid w:val="00EF4215"/>
    <w:rsid w:val="00EF72AE"/>
    <w:rsid w:val="00F0620D"/>
    <w:rsid w:val="00F10F3C"/>
    <w:rsid w:val="00F13FC8"/>
    <w:rsid w:val="00F20F20"/>
    <w:rsid w:val="00F25572"/>
    <w:rsid w:val="00F323C9"/>
    <w:rsid w:val="00F32DDA"/>
    <w:rsid w:val="00F34149"/>
    <w:rsid w:val="00F34B64"/>
    <w:rsid w:val="00F40E6D"/>
    <w:rsid w:val="00F41977"/>
    <w:rsid w:val="00F50E31"/>
    <w:rsid w:val="00F63673"/>
    <w:rsid w:val="00F6533C"/>
    <w:rsid w:val="00F823EB"/>
    <w:rsid w:val="00F84F00"/>
    <w:rsid w:val="00FC36AF"/>
    <w:rsid w:val="00FD2F37"/>
    <w:rsid w:val="00FE0476"/>
    <w:rsid w:val="00FE15CA"/>
    <w:rsid w:val="00FE182E"/>
    <w:rsid w:val="00FF319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6B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4F"/>
  </w:style>
  <w:style w:type="paragraph" w:styleId="Heading1">
    <w:name w:val="heading 1"/>
    <w:basedOn w:val="Normal"/>
    <w:next w:val="Normal"/>
    <w:link w:val="Heading1Char"/>
    <w:uiPriority w:val="9"/>
    <w:qFormat/>
    <w:rsid w:val="007D2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8E"/>
  </w:style>
  <w:style w:type="paragraph" w:customStyle="1" w:styleId="ListBulletindent">
    <w:name w:val="List Bullet + indent"/>
    <w:basedOn w:val="ListBullet"/>
    <w:rsid w:val="00AC1E8E"/>
    <w:pPr>
      <w:numPr>
        <w:ilvl w:val="1"/>
      </w:numPr>
      <w:tabs>
        <w:tab w:val="clear" w:pos="2160"/>
        <w:tab w:val="num" w:pos="360"/>
      </w:tabs>
      <w:spacing w:line="240" w:lineRule="exact"/>
      <w:ind w:left="1080"/>
      <w:contextualSpacing w:val="0"/>
    </w:pPr>
    <w:rPr>
      <w:rFonts w:ascii="Verdana" w:eastAsia="Times New Roman" w:hAnsi="Verdana" w:cs="ZWAdobeF"/>
    </w:rPr>
  </w:style>
  <w:style w:type="paragraph" w:styleId="ListBullet">
    <w:name w:val="List Bullet"/>
    <w:basedOn w:val="Normal"/>
    <w:uiPriority w:val="99"/>
    <w:semiHidden/>
    <w:unhideWhenUsed/>
    <w:rsid w:val="00AC1E8E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C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8E"/>
  </w:style>
  <w:style w:type="paragraph" w:styleId="ListParagraph">
    <w:name w:val="List Paragraph"/>
    <w:basedOn w:val="Normal"/>
    <w:uiPriority w:val="34"/>
    <w:qFormat/>
    <w:rsid w:val="00AC1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52D5E"/>
  </w:style>
  <w:style w:type="character" w:customStyle="1" w:styleId="Heading2Char">
    <w:name w:val="Heading 2 Char"/>
    <w:basedOn w:val="DefaultParagraphFont"/>
    <w:link w:val="Heading2"/>
    <w:uiPriority w:val="9"/>
    <w:rsid w:val="007D2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D29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9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23"/>
    <w:pPr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D2923"/>
    <w:pPr>
      <w:spacing w:after="100"/>
      <w:ind w:left="220"/>
    </w:pPr>
  </w:style>
  <w:style w:type="paragraph" w:styleId="PlainText">
    <w:name w:val="Plain Text"/>
    <w:basedOn w:val="Normal"/>
    <w:link w:val="PlainTextChar"/>
    <w:uiPriority w:val="99"/>
    <w:unhideWhenUsed/>
    <w:rsid w:val="007D29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923"/>
    <w:rPr>
      <w:rFonts w:ascii="Calibri" w:hAnsi="Calibri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7D2923"/>
    <w:pPr>
      <w:spacing w:after="100"/>
      <w:ind w:left="440"/>
    </w:pPr>
  </w:style>
  <w:style w:type="paragraph" w:styleId="NoSpacing">
    <w:name w:val="No Spacing"/>
    <w:uiPriority w:val="1"/>
    <w:qFormat/>
    <w:rsid w:val="0014411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C5971"/>
    <w:pPr>
      <w:spacing w:after="100"/>
    </w:pPr>
  </w:style>
  <w:style w:type="paragraph" w:customStyle="1" w:styleId="MainText">
    <w:name w:val="+Main Text"/>
    <w:basedOn w:val="Normal"/>
    <w:link w:val="MainTextChar"/>
    <w:qFormat/>
    <w:rsid w:val="00CA1FAC"/>
    <w:pPr>
      <w:spacing w:before="120" w:after="120" w:line="240" w:lineRule="auto"/>
    </w:pPr>
    <w:rPr>
      <w:rFonts w:ascii="Arial" w:eastAsia="Times New Roman" w:hAnsi="Arial" w:cs="Arial"/>
      <w:bCs/>
      <w:sz w:val="24"/>
    </w:rPr>
  </w:style>
  <w:style w:type="character" w:customStyle="1" w:styleId="MainTextChar">
    <w:name w:val="+Main Text Char"/>
    <w:link w:val="MainText"/>
    <w:rsid w:val="00CA1FAC"/>
    <w:rPr>
      <w:rFonts w:ascii="Arial" w:eastAsia="Times New Roman" w:hAnsi="Arial" w:cs="Arial"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7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4F"/>
  </w:style>
  <w:style w:type="paragraph" w:styleId="Heading1">
    <w:name w:val="heading 1"/>
    <w:basedOn w:val="Normal"/>
    <w:next w:val="Normal"/>
    <w:link w:val="Heading1Char"/>
    <w:uiPriority w:val="9"/>
    <w:qFormat/>
    <w:rsid w:val="007D2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8E"/>
  </w:style>
  <w:style w:type="paragraph" w:customStyle="1" w:styleId="ListBulletindent">
    <w:name w:val="List Bullet + indent"/>
    <w:basedOn w:val="ListBullet"/>
    <w:rsid w:val="00AC1E8E"/>
    <w:pPr>
      <w:numPr>
        <w:ilvl w:val="1"/>
      </w:numPr>
      <w:tabs>
        <w:tab w:val="clear" w:pos="2160"/>
        <w:tab w:val="num" w:pos="360"/>
      </w:tabs>
      <w:spacing w:line="240" w:lineRule="exact"/>
      <w:ind w:left="1080"/>
      <w:contextualSpacing w:val="0"/>
    </w:pPr>
    <w:rPr>
      <w:rFonts w:ascii="Verdana" w:eastAsia="Times New Roman" w:hAnsi="Verdana" w:cs="ZWAdobeF"/>
    </w:rPr>
  </w:style>
  <w:style w:type="paragraph" w:styleId="ListBullet">
    <w:name w:val="List Bullet"/>
    <w:basedOn w:val="Normal"/>
    <w:uiPriority w:val="99"/>
    <w:semiHidden/>
    <w:unhideWhenUsed/>
    <w:rsid w:val="00AC1E8E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C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8E"/>
  </w:style>
  <w:style w:type="paragraph" w:styleId="ListParagraph">
    <w:name w:val="List Paragraph"/>
    <w:basedOn w:val="Normal"/>
    <w:uiPriority w:val="34"/>
    <w:qFormat/>
    <w:rsid w:val="00AC1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52D5E"/>
  </w:style>
  <w:style w:type="character" w:customStyle="1" w:styleId="Heading2Char">
    <w:name w:val="Heading 2 Char"/>
    <w:basedOn w:val="DefaultParagraphFont"/>
    <w:link w:val="Heading2"/>
    <w:uiPriority w:val="9"/>
    <w:rsid w:val="007D2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D29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9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23"/>
    <w:pPr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D2923"/>
    <w:pPr>
      <w:spacing w:after="100"/>
      <w:ind w:left="220"/>
    </w:pPr>
  </w:style>
  <w:style w:type="paragraph" w:styleId="PlainText">
    <w:name w:val="Plain Text"/>
    <w:basedOn w:val="Normal"/>
    <w:link w:val="PlainTextChar"/>
    <w:uiPriority w:val="99"/>
    <w:unhideWhenUsed/>
    <w:rsid w:val="007D29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923"/>
    <w:rPr>
      <w:rFonts w:ascii="Calibri" w:hAnsi="Calibri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7D2923"/>
    <w:pPr>
      <w:spacing w:after="100"/>
      <w:ind w:left="440"/>
    </w:pPr>
  </w:style>
  <w:style w:type="paragraph" w:styleId="NoSpacing">
    <w:name w:val="No Spacing"/>
    <w:uiPriority w:val="1"/>
    <w:qFormat/>
    <w:rsid w:val="0014411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C5971"/>
    <w:pPr>
      <w:spacing w:after="100"/>
    </w:pPr>
  </w:style>
  <w:style w:type="paragraph" w:customStyle="1" w:styleId="MainText">
    <w:name w:val="+Main Text"/>
    <w:basedOn w:val="Normal"/>
    <w:link w:val="MainTextChar"/>
    <w:qFormat/>
    <w:rsid w:val="00CA1FAC"/>
    <w:pPr>
      <w:spacing w:before="120" w:after="120" w:line="240" w:lineRule="auto"/>
    </w:pPr>
    <w:rPr>
      <w:rFonts w:ascii="Arial" w:eastAsia="Times New Roman" w:hAnsi="Arial" w:cs="Arial"/>
      <w:bCs/>
      <w:sz w:val="24"/>
    </w:rPr>
  </w:style>
  <w:style w:type="character" w:customStyle="1" w:styleId="MainTextChar">
    <w:name w:val="+Main Text Char"/>
    <w:link w:val="MainText"/>
    <w:rsid w:val="00CA1FAC"/>
    <w:rPr>
      <w:rFonts w:ascii="Arial" w:eastAsia="Times New Roman" w:hAnsi="Arial" w:cs="Arial"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7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2F2F8-4B02-4B05-9F4D-F489AE94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Brenk</dc:creator>
  <cp:lastModifiedBy>Conor Moloney</cp:lastModifiedBy>
  <cp:revision>2</cp:revision>
  <cp:lastPrinted>2015-07-22T16:33:00Z</cp:lastPrinted>
  <dcterms:created xsi:type="dcterms:W3CDTF">2016-01-13T16:59:00Z</dcterms:created>
  <dcterms:modified xsi:type="dcterms:W3CDTF">2016-01-13T16:59:00Z</dcterms:modified>
</cp:coreProperties>
</file>